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A7ED" w14:textId="77777777" w:rsidR="00AC10B0" w:rsidRPr="009B3F53" w:rsidRDefault="009B3F53" w:rsidP="00F10401">
      <w:pPr>
        <w:spacing w:after="240"/>
        <w:jc w:val="center"/>
        <w:rPr>
          <w:sz w:val="32"/>
          <w:szCs w:val="32"/>
        </w:rPr>
      </w:pPr>
      <w:r w:rsidRPr="009B3F53">
        <w:rPr>
          <w:sz w:val="32"/>
          <w:szCs w:val="32"/>
        </w:rPr>
        <w:t>The</w:t>
      </w:r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Lord</w:t>
      </w:r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in</w:t>
      </w:r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Gethsemane</w:t>
      </w:r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(Lk</w:t>
      </w:r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22:43-45;</w:t>
      </w:r>
      <w:r w:rsidR="00D43730">
        <w:rPr>
          <w:sz w:val="32"/>
          <w:szCs w:val="32"/>
        </w:rPr>
        <w:t xml:space="preserve"> </w:t>
      </w:r>
      <w:proofErr w:type="spellStart"/>
      <w:r w:rsidRPr="009B3F53">
        <w:rPr>
          <w:sz w:val="32"/>
          <w:szCs w:val="32"/>
        </w:rPr>
        <w:t>Heb</w:t>
      </w:r>
      <w:proofErr w:type="spellEnd"/>
      <w:r w:rsidR="00D43730">
        <w:rPr>
          <w:sz w:val="32"/>
          <w:szCs w:val="32"/>
        </w:rPr>
        <w:t xml:space="preserve"> </w:t>
      </w:r>
      <w:r w:rsidRPr="009B3F53">
        <w:rPr>
          <w:sz w:val="32"/>
          <w:szCs w:val="32"/>
        </w:rPr>
        <w:t>5:7)</w:t>
      </w:r>
    </w:p>
    <w:p w14:paraId="1F952291" w14:textId="1912874B" w:rsidR="009B3F53" w:rsidRDefault="00F10401" w:rsidP="00C6417A">
      <w:pPr>
        <w:jc w:val="center"/>
        <w:rPr>
          <w:sz w:val="20"/>
          <w:szCs w:val="20"/>
        </w:rPr>
      </w:pPr>
      <w:r w:rsidRPr="00810C71">
        <w:rPr>
          <w:sz w:val="20"/>
          <w:szCs w:val="20"/>
        </w:rPr>
        <w:t>Graham</w:t>
      </w:r>
      <w:r w:rsidR="008B35F0">
        <w:rPr>
          <w:sz w:val="20"/>
          <w:szCs w:val="20"/>
        </w:rPr>
        <w:t xml:space="preserve"> G.</w:t>
      </w:r>
      <w:r w:rsidR="00D43730" w:rsidRPr="00810C71">
        <w:rPr>
          <w:sz w:val="20"/>
          <w:szCs w:val="20"/>
        </w:rPr>
        <w:t xml:space="preserve"> </w:t>
      </w:r>
      <w:r w:rsidRPr="00810C71">
        <w:rPr>
          <w:sz w:val="20"/>
          <w:szCs w:val="20"/>
        </w:rPr>
        <w:t>Thomason,</w:t>
      </w:r>
      <w:r w:rsidR="00D43730" w:rsidRPr="00810C71">
        <w:rPr>
          <w:sz w:val="20"/>
          <w:szCs w:val="20"/>
        </w:rPr>
        <w:t xml:space="preserve"> </w:t>
      </w:r>
      <w:r w:rsidRPr="00810C71">
        <w:rPr>
          <w:sz w:val="20"/>
          <w:szCs w:val="20"/>
        </w:rPr>
        <w:t>4</w:t>
      </w:r>
      <w:r w:rsidR="00D43730" w:rsidRPr="00810C71">
        <w:rPr>
          <w:sz w:val="20"/>
          <w:szCs w:val="20"/>
        </w:rPr>
        <w:t xml:space="preserve"> </w:t>
      </w:r>
      <w:r w:rsidRPr="00810C71">
        <w:rPr>
          <w:sz w:val="20"/>
          <w:szCs w:val="20"/>
        </w:rPr>
        <w:t>April</w:t>
      </w:r>
      <w:r w:rsidR="00D43730" w:rsidRPr="00810C71">
        <w:rPr>
          <w:sz w:val="20"/>
          <w:szCs w:val="20"/>
        </w:rPr>
        <w:t xml:space="preserve"> </w:t>
      </w:r>
      <w:r w:rsidRPr="00810C71">
        <w:rPr>
          <w:sz w:val="20"/>
          <w:szCs w:val="20"/>
        </w:rPr>
        <w:t>2015</w:t>
      </w:r>
    </w:p>
    <w:p w14:paraId="76DD0695" w14:textId="5AC62CBE" w:rsidR="00C6417A" w:rsidRDefault="00C6417A" w:rsidP="00166325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4F4328">
        <w:rPr>
          <w:sz w:val="20"/>
          <w:szCs w:val="20"/>
        </w:rPr>
        <w:t>17</w:t>
      </w:r>
      <w:r>
        <w:rPr>
          <w:sz w:val="20"/>
          <w:szCs w:val="20"/>
        </w:rPr>
        <w:t xml:space="preserve"> January 2023</w:t>
      </w:r>
    </w:p>
    <w:p w14:paraId="375BC4A1" w14:textId="6CA4E866" w:rsidR="0006785F" w:rsidRDefault="0006785F" w:rsidP="00166325">
      <w:pPr>
        <w:spacing w:after="360"/>
        <w:jc w:val="center"/>
        <w:rPr>
          <w:rStyle w:val="Hyperlink"/>
          <w:sz w:val="20"/>
          <w:szCs w:val="20"/>
        </w:rPr>
      </w:pPr>
      <w:r w:rsidRPr="0006785F">
        <w:rPr>
          <w:sz w:val="20"/>
          <w:szCs w:val="20"/>
        </w:rPr>
        <w:t xml:space="preserve">This article is </w:t>
      </w:r>
      <w:r w:rsidR="00272589">
        <w:rPr>
          <w:sz w:val="20"/>
          <w:szCs w:val="20"/>
        </w:rPr>
        <w:t>linked to</w:t>
      </w:r>
      <w:r w:rsidRPr="0006785F">
        <w:rPr>
          <w:sz w:val="20"/>
          <w:szCs w:val="20"/>
        </w:rPr>
        <w:t xml:space="preserve"> on</w:t>
      </w:r>
      <w:r w:rsidR="00272589">
        <w:rPr>
          <w:sz w:val="20"/>
          <w:szCs w:val="20"/>
        </w:rPr>
        <w:t xml:space="preserve"> the FarAboveAll website here: </w:t>
      </w:r>
      <w:r w:rsidRPr="0006785F">
        <w:rPr>
          <w:sz w:val="20"/>
          <w:szCs w:val="20"/>
        </w:rPr>
        <w:t xml:space="preserve"> </w:t>
      </w:r>
      <w:hyperlink r:id="rId7" w:history="1">
        <w:r w:rsidR="00272589" w:rsidRPr="00630115">
          <w:rPr>
            <w:rStyle w:val="Hyperlink"/>
            <w:sz w:val="20"/>
            <w:szCs w:val="20"/>
          </w:rPr>
          <w:t>www.FarAboveAll.com/020_Expository/01_Expository.html</w:t>
        </w:r>
      </w:hyperlink>
    </w:p>
    <w:p w14:paraId="569337EB" w14:textId="77777777" w:rsidR="00166325" w:rsidRPr="00166325" w:rsidRDefault="00166325" w:rsidP="00166325">
      <w:pPr>
        <w:spacing w:after="60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663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You can read this article using either the Authorized Version or The FarAboveAll translation.</w:t>
      </w:r>
    </w:p>
    <w:p w14:paraId="68D50DA2" w14:textId="77777777" w:rsidR="00D43730" w:rsidRPr="00D43730" w:rsidRDefault="00D43730" w:rsidP="00D43730">
      <w:pPr>
        <w:spacing w:after="36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The Lord Jesus Christ came to do God's will (prophesied in </w:t>
      </w:r>
      <w:r w:rsidRPr="00D4373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Ps 40:6-7, quoted in </w:t>
      </w:r>
      <w:proofErr w:type="spellStart"/>
      <w:r w:rsidRPr="00D43730">
        <w:rPr>
          <w:rFonts w:ascii="Times New Roman" w:eastAsia="Times New Roman" w:hAnsi="Times New Roman" w:cs="Times New Roman"/>
          <w:sz w:val="26"/>
          <w:szCs w:val="26"/>
          <w:lang w:eastAsia="en-GB"/>
        </w:rPr>
        <w:t>Heb</w:t>
      </w:r>
      <w:proofErr w:type="spellEnd"/>
      <w:r w:rsidRPr="00D4373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10:7)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0"/>
      </w:tblGrid>
      <w:tr w:rsidR="009B3F53" w:rsidRPr="00D43730" w14:paraId="1DDCFCCC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078E2D5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VERSE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8A2DD32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AV</w:t>
            </w:r>
            <w:r w:rsidR="00332C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(Authorized Version)</w:t>
            </w:r>
            <w:r w:rsidR="00DD381A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footnoteReference w:id="1"/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B0C9C82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FAA</w:t>
            </w:r>
            <w:r w:rsidR="00332C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</w:t>
            </w:r>
            <w:r w:rsidR="006A75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The </w:t>
            </w:r>
            <w:r w:rsidR="00332C58" w:rsidRPr="006A7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FarAboveAll</w:t>
            </w:r>
            <w:r w:rsidR="00332C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Translation)</w:t>
            </w:r>
          </w:p>
        </w:tc>
      </w:tr>
      <w:tr w:rsidR="00A738D7" w:rsidRPr="00D43730" w14:paraId="3600108B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1DAE238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Heb</w:t>
            </w:r>
            <w:proofErr w:type="spell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10:5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5255C75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Wherefore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world,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saith,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Sacrifice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offering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wouldest</w:t>
            </w:r>
            <w:proofErr w:type="spell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body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prepared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e: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558AD61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30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why,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world,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says,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“You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did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desire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sacrifice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offering,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prepared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body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me.</w:t>
            </w:r>
          </w:p>
        </w:tc>
      </w:tr>
      <w:tr w:rsidR="00A738D7" w:rsidRPr="00D43730" w14:paraId="30289DA4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B878814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Heb</w:t>
            </w:r>
            <w:proofErr w:type="spell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10:6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97C2A1A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burnt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offerings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33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sacrifices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pleasure.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B680230" w14:textId="77777777" w:rsidR="00A738D7" w:rsidRPr="00A21C2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did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take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pleasure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burnt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offerings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sin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offerings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</w:p>
        </w:tc>
      </w:tr>
      <w:tr w:rsidR="00A738D7" w:rsidRPr="00D43730" w14:paraId="1AFFE48B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1346AE1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Heb</w:t>
            </w:r>
            <w:proofErr w:type="spell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10:7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2F50C75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</w:t>
            </w:r>
            <w:proofErr w:type="gramEnd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(in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volume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book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written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e,)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do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hy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will,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God.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DEBD2B9" w14:textId="77777777" w:rsidR="00A738D7" w:rsidRPr="009F50EC" w:rsidRDefault="00A738D7" w:rsidP="00A738D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Then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said,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‘Behold,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–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scroll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book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stands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written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about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</w:t>
            </w:r>
            <w:r w:rsidR="00D43730"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21C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–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do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your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will,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O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God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.’</w:t>
            </w:r>
            <w:r w:rsidR="00D43730" w:rsidRPr="009F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9F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”</w:t>
            </w:r>
          </w:p>
        </w:tc>
      </w:tr>
    </w:tbl>
    <w:p w14:paraId="65EF5A19" w14:textId="77777777" w:rsidR="00A738D7" w:rsidRDefault="00A738D7" w:rsidP="009B3F53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A60545D" w14:textId="77777777" w:rsidR="00D43730" w:rsidRPr="00D43730" w:rsidRDefault="00D43730" w:rsidP="009B3F53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C91411C" w14:textId="77777777" w:rsidR="00314F20" w:rsidRPr="00D43730" w:rsidRDefault="00314F20" w:rsidP="00314F20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Lord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resolute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about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fulfilling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this</w:t>
      </w:r>
      <w:r w:rsidR="008B7EE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1"/>
      </w:tblGrid>
      <w:tr w:rsidR="009B3F53" w:rsidRPr="00D43730" w14:paraId="4A494F71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B7BBA64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9:51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4AA8BC2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pass,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should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received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e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stedfastly</w:t>
            </w:r>
            <w:proofErr w:type="spellEnd"/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set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is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face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2948C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Jerusalem,</w:t>
            </w:r>
          </w:p>
        </w:tc>
        <w:tc>
          <w:tcPr>
            <w:tcW w:w="47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DC06E04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pass,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towards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completion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days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taken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resolutely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disposed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himself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Jerusalem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</w:p>
        </w:tc>
      </w:tr>
    </w:tbl>
    <w:p w14:paraId="79798088" w14:textId="77777777" w:rsidR="00314F20" w:rsidRDefault="00314F20">
      <w:pPr>
        <w:rPr>
          <w:sz w:val="26"/>
          <w:szCs w:val="26"/>
        </w:rPr>
      </w:pPr>
    </w:p>
    <w:p w14:paraId="4544E37B" w14:textId="77777777" w:rsidR="00D43730" w:rsidRPr="00D43730" w:rsidRDefault="00D43730">
      <w:pPr>
        <w:rPr>
          <w:sz w:val="26"/>
          <w:szCs w:val="26"/>
        </w:rPr>
      </w:pPr>
    </w:p>
    <w:p w14:paraId="7ED7CC1B" w14:textId="77777777" w:rsidR="00314F20" w:rsidRPr="00D43730" w:rsidRDefault="00314F20" w:rsidP="00D43730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some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kind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physical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Him,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which,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successful,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would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have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ended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premature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death,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according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scripture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0"/>
      </w:tblGrid>
      <w:tr w:rsidR="009B3F53" w:rsidRPr="00D43730" w14:paraId="7660BEDE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7BE33A0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22:39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6CF58DE" w14:textId="77777777" w:rsidR="009B3F53" w:rsidRPr="00D43730" w:rsidRDefault="009B3F53" w:rsidP="00A247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out,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went,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wont,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Olives;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disciples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followed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B910B06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custom,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Olives,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disciples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followed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him.</w:t>
            </w:r>
          </w:p>
        </w:tc>
      </w:tr>
      <w:tr w:rsidR="009B3F53" w:rsidRPr="00D43730" w14:paraId="000C75FE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88734BE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22:40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5FF6504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place,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enter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temptation.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1D33E5E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arrived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place,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“Pray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enter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temptation.”</w:t>
            </w:r>
          </w:p>
        </w:tc>
      </w:tr>
      <w:tr w:rsidR="009B3F53" w:rsidRPr="00D43730" w14:paraId="26277595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9173C94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22:41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B7BF986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withdrawn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about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stone's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cast,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kneeled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down</w:t>
            </w:r>
            <w:proofErr w:type="gramEnd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prayed,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E203F41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withdrew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about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stone's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throw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knelt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down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prayed.</w:t>
            </w:r>
          </w:p>
        </w:tc>
      </w:tr>
      <w:tr w:rsidR="009B3F53" w:rsidRPr="00D43730" w14:paraId="627D446A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2D6AE38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22:42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0E67310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Saying,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Father,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willing,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remove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cup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e: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nevertheless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will,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hine,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done.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3D8E2AF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“Father,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willing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remove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cup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...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–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will,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yours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done.”</w:t>
            </w:r>
          </w:p>
        </w:tc>
      </w:tr>
      <w:tr w:rsidR="009B3F53" w:rsidRPr="00D43730" w14:paraId="318CAEAB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AB685A0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22:43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7313346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appeared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angel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heaven,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strengthening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588F0DA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angel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heaven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appeared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strengthening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him,</w:t>
            </w:r>
          </w:p>
        </w:tc>
      </w:tr>
      <w:tr w:rsidR="009B3F53" w:rsidRPr="00D43730" w14:paraId="7B4337AD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D1596EE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22:44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04C2D3C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agony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more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earnestly: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sweat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great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drops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blood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falling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down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ground.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5702B8A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agony,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all</w:t>
            </w:r>
            <w:r w:rsidR="00D43730"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more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intensely.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Furthermore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sweat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become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like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clots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blood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falling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ground.</w:t>
            </w:r>
          </w:p>
        </w:tc>
      </w:tr>
      <w:tr w:rsidR="009B3F53" w:rsidRPr="00D43730" w14:paraId="2ED75429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CBBF34A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22:45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1713912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rose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prayer,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disciples,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found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sleeping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sorrow,</w:t>
            </w:r>
          </w:p>
        </w:tc>
        <w:tc>
          <w:tcPr>
            <w:tcW w:w="47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FA7438D" w14:textId="77777777" w:rsidR="009B3F53" w:rsidRPr="00D43730" w:rsidRDefault="009B3F53" w:rsidP="009B3F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arose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disciples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found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lying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asleep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sorrow.</w:t>
            </w:r>
          </w:p>
        </w:tc>
      </w:tr>
    </w:tbl>
    <w:p w14:paraId="15C47DDE" w14:textId="77777777" w:rsidR="009B3F53" w:rsidRPr="00D43730" w:rsidRDefault="009B3F53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E1D6060" w14:textId="77777777" w:rsidR="004A4844" w:rsidRPr="00D43730" w:rsidRDefault="004A4844" w:rsidP="00D339C3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Many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will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tell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7830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Jesus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asked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remove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crucifixion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from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Him,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cannot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case.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Lord</w:t>
      </w:r>
      <w:r w:rsidR="007830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Jesus Christ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determined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fulfil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275D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mission.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never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flinched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anything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happened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kangaroo-court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trial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high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priest,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up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cross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cross.</w:t>
      </w:r>
    </w:p>
    <w:p w14:paraId="38071B97" w14:textId="77777777" w:rsidR="004A4844" w:rsidRPr="00D43730" w:rsidRDefault="004A4844" w:rsidP="004A484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3BA4C19" w14:textId="77777777" w:rsidR="004A4844" w:rsidRPr="00D43730" w:rsidRDefault="004A4844" w:rsidP="002C677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suggest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Christ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trying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duck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crucifixion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would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make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2C677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im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coward,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overcomer,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would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leave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2C677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im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terrible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example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for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supposed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follow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2C677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lead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1"/>
      </w:tblGrid>
      <w:tr w:rsidR="004A4844" w:rsidRPr="00D43730" w14:paraId="326C02D4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D05FF33" w14:textId="77777777" w:rsidR="004A4844" w:rsidRPr="00D43730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2:5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A1C1023" w14:textId="77777777" w:rsidR="004A4844" w:rsidRPr="00D43730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Let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Jesus:</w:t>
            </w:r>
          </w:p>
        </w:tc>
        <w:tc>
          <w:tcPr>
            <w:tcW w:w="47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1A3C290" w14:textId="77777777" w:rsidR="004A4844" w:rsidRPr="00D43730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you,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Jesus,</w:t>
            </w:r>
          </w:p>
        </w:tc>
      </w:tr>
    </w:tbl>
    <w:p w14:paraId="74B543DF" w14:textId="77777777" w:rsidR="004A4844" w:rsidRPr="00D43730" w:rsidRDefault="004A4844" w:rsidP="004A484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8F9BF71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How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like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this?</w:t>
      </w:r>
    </w:p>
    <w:p w14:paraId="50322E96" w14:textId="77777777" w:rsidR="004A4844" w:rsidRPr="00D43730" w:rsidRDefault="004A4844" w:rsidP="004A4844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Jesus:</w:t>
      </w:r>
      <w:r w:rsidR="00F0024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ab/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Please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God,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avoid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crucifixion.</w:t>
      </w:r>
    </w:p>
    <w:p w14:paraId="303216D8" w14:textId="77777777" w:rsidR="004A4844" w:rsidRPr="00D43730" w:rsidRDefault="00F00243" w:rsidP="004A4844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God: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ab/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you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get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your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A484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job.</w:t>
      </w:r>
    </w:p>
    <w:p w14:paraId="0CA33AF5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D197E5A" w14:textId="77777777" w:rsidR="004A4844" w:rsidRPr="00D43730" w:rsidRDefault="004A4844" w:rsidP="004A4844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Hebrews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tells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disagreement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between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Christ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Father:</w:t>
      </w: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1"/>
      </w:tblGrid>
      <w:tr w:rsidR="004A4844" w:rsidRPr="00D43730" w14:paraId="5C13DE3B" w14:textId="77777777" w:rsidTr="00975CA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6112920" w14:textId="77777777" w:rsidR="004A4844" w:rsidRPr="00D43730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Heb</w:t>
            </w:r>
            <w:proofErr w:type="spell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5:7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B636FCA" w14:textId="77777777" w:rsidR="004A4844" w:rsidRPr="002948CF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days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flesh,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offered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prayers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supplications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strong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crying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tears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able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death,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and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was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heard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feared;</w:t>
            </w:r>
          </w:p>
        </w:tc>
        <w:tc>
          <w:tcPr>
            <w:tcW w:w="47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0C476F2" w14:textId="77777777" w:rsidR="004A4844" w:rsidRPr="00D43730" w:rsidRDefault="004A4844" w:rsidP="004A48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days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flesh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made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supplications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entreaties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loud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cries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tears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who</w:t>
            </w:r>
            <w:r w:rsidR="00D43730"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able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death,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heard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because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devoutness,</w:t>
            </w:r>
          </w:p>
        </w:tc>
      </w:tr>
    </w:tbl>
    <w:p w14:paraId="01415FBE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402BB7D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Christ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heard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because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275D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knew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under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275D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needed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given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strength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survive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continue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275D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mission.</w:t>
      </w:r>
    </w:p>
    <w:p w14:paraId="37DF7E7B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4041259" w14:textId="77777777" w:rsidR="004A4844" w:rsidRPr="00D43730" w:rsidRDefault="004A4844" w:rsidP="000A6008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Now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recent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times,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more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btle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which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teaching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under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altering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scripture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itself,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Christians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need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know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about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see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Revised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Standard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Version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Luke's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Gospel:</w:t>
      </w:r>
    </w:p>
    <w:p w14:paraId="7B4095C1" w14:textId="77777777" w:rsidR="004A4844" w:rsidRPr="00D43730" w:rsidRDefault="00000000" w:rsidP="00226314">
      <w:pPr>
        <w:pageBreakBefore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lastRenderedPageBreak/>
        <w:pict w14:anchorId="77554DB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8pt;margin-top:19.5pt;width:252.4pt;height:111.35pt;z-index:-251654144">
            <v:textbox style="mso-next-textbox:#_x0000_s1027" inset=",,1mm">
              <w:txbxContent>
                <w:p w14:paraId="1AC93405" w14:textId="77777777" w:rsidR="007E0FCE" w:rsidRDefault="00226314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43C286B" wp14:editId="62E7428C">
                        <wp:extent cx="2988929" cy="1264257"/>
                        <wp:effectExtent l="19050" t="0" r="1921" b="0"/>
                        <wp:docPr id="8" name="Picture 3" descr="C:\Graham1\1_Main\A12_GrahamBibleDocs\B20_TextCrit\Lk_22_43\ShorterQuotes\RSV01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Graham1\1_Main\A12_GrahamBibleDocs\B20_TextCrit\Lk_22_43\ShorterQuotes\RSV01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3846" cy="1266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Revised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Standard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A6008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Version</w:t>
      </w:r>
      <w:r w:rsidR="00BF3C6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77BDFA81" w14:textId="77777777" w:rsidR="004A4844" w:rsidRPr="00D43730" w:rsidRDefault="004A484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E402E8F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F46FBFE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13E0329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30C051A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F2C7BAD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89195C2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42AFB56" w14:textId="77777777" w:rsidR="00226314" w:rsidRDefault="00226314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FF8CD23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6E288B7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78050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In the main text,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which is all that would be read in a typical public reading, </w:t>
      </w:r>
      <w:r w:rsidRPr="0078050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episode of the attack 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im has been deleted!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0000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pict w14:anchorId="1E926F65">
          <v:shape id="_x0000_s1037" type="#_x0000_t202" style="position:absolute;margin-left:2.8pt;margin-top:49.05pt;width:494.05pt;height:41.25pt;z-index:251661312;mso-position-horizontal-relative:text;mso-position-vertical-relative:text">
            <v:textbox style="mso-next-textbox:#_x0000_s1037" inset="1mm,,0">
              <w:txbxContent>
                <w:p w14:paraId="5180FAD8" w14:textId="77777777" w:rsidR="00226314" w:rsidRDefault="00226314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CF0DF1B" wp14:editId="1FABFE61">
                        <wp:extent cx="6182967" cy="395963"/>
                        <wp:effectExtent l="19050" t="0" r="8283" b="0"/>
                        <wp:docPr id="9" name="Picture 4" descr="C:\Graham1\1_Main\A12_GrahamBibleDocs\B20_TextCrit\Lk_22_43\ShorterQuotes\RSV01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Graham1\1_Main\A12_GrahamBibleDocs\B20_TextCrit\Lk_22_43\ShorterQuotes\RSV014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4912" cy="396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There is a footnote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giving the missing verses, but they are not credited with authenticity.</w:t>
      </w:r>
    </w:p>
    <w:p w14:paraId="5BA39584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DABDC45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52E0B73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27A0016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D622681" w14:textId="77777777" w:rsidR="00226314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96C0CE4" w14:textId="77777777" w:rsidR="00226314" w:rsidRPr="00D43730" w:rsidRDefault="00000000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pict w14:anchorId="72C84556">
          <v:shape id="_x0000_s1039" type="#_x0000_t202" style="position:absolute;margin-left:2.85pt;margin-top:159.6pt;width:418.25pt;height:55.1pt;z-index:251664384">
            <v:textbox style="mso-next-textbox:#_x0000_s1039" inset="2mm,,2mm">
              <w:txbxContent>
                <w:p w14:paraId="6D0591DF" w14:textId="77777777" w:rsidR="002B2E15" w:rsidRDefault="002B2E15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44A9479" wp14:editId="5C2EB980">
                        <wp:extent cx="5114831" cy="572494"/>
                        <wp:effectExtent l="19050" t="0" r="0" b="0"/>
                        <wp:docPr id="20" name="Picture 11" descr="C:\Graham1\1_Main\A12_GrahamBibleDocs\B20_TextCrit\Lk_22_43\ShorterQuotes\NA_Lk_22_4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Graham1\1_Main\A12_GrahamBibleDocs\B20_TextCrit\Lk_22_43\ShorterQuotes\NA_Lk_22_43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7483" cy="57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pict w14:anchorId="0818F7AC">
          <v:shape id="_x0000_s1038" type="#_x0000_t202" style="position:absolute;margin-left:2.8pt;margin-top:20.2pt;width:418.8pt;height:121.65pt;z-index:251663360">
            <v:textbox inset="2mm,,2mm">
              <w:txbxContent>
                <w:p w14:paraId="3EC1FB75" w14:textId="77777777" w:rsidR="002B2E15" w:rsidRDefault="002B2E15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78F51A6" wp14:editId="203C013B">
                        <wp:extent cx="5102766" cy="1375576"/>
                        <wp:effectExtent l="19050" t="0" r="2634" b="0"/>
                        <wp:docPr id="19" name="Picture 10" descr="C:\Graham1\1_Main\A12_GrahamBibleDocs\B20_TextCrit\Lk_22_43\ShorterQuotes\NA_Lk_22_4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Graham1\1_Main\A12_GrahamBibleDocs\B20_TextCrit\Lk_22_43\ShorterQuotes\NA_Lk_22_4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2693" cy="1386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 w:rsidR="0022631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Let's see how it's presented in NA</w:t>
      </w:r>
      <w:r w:rsidR="00DA7630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="0022631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(Nestle-Aland, </w:t>
      </w:r>
      <w:r w:rsidR="00DA76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26</w:t>
      </w:r>
      <w:r w:rsidR="00226314" w:rsidRPr="00D4373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th</w:t>
      </w:r>
      <w:r w:rsidR="0022631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edition):</w:t>
      </w:r>
      <w:r w:rsidR="00226314" w:rsidRPr="00D43730">
        <w:rPr>
          <w:color w:val="000000"/>
          <w:sz w:val="26"/>
          <w:szCs w:val="26"/>
        </w:rPr>
        <w:t xml:space="preserve"> </w:t>
      </w:r>
    </w:p>
    <w:p w14:paraId="61373B20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EE43296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37576EA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C5FC15B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0898B70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7B7172F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6015B90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D2275F5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E141F41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4FFE5FF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82711F9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DE948FC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9A1C8FC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EA8326E" w14:textId="77777777" w:rsidR="002B2E15" w:rsidRDefault="002B2E15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5A3795B" w14:textId="77777777" w:rsidR="00226314" w:rsidRPr="00D43730" w:rsidRDefault="00226314" w:rsidP="00226314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B737844" w14:textId="5CEBA020" w:rsidR="00042173" w:rsidRPr="00D43730" w:rsidRDefault="009E6612" w:rsidP="001F50F0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806407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ntroduction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says,</w:t>
      </w:r>
    </w:p>
    <w:p w14:paraId="77D9AB3B" w14:textId="77777777" w:rsidR="00042173" w:rsidRPr="00D43730" w:rsidRDefault="009E6612" w:rsidP="00BB3D75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Readings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enclosed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double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brackets,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theme="majorBidi"/>
          <w:color w:val="000000"/>
          <w:sz w:val="26"/>
          <w:szCs w:val="26"/>
          <w:lang w:eastAsia="en-GB"/>
        </w:rPr>
        <w:t>〚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theme="majorBidi"/>
          <w:color w:val="000000"/>
          <w:sz w:val="26"/>
          <w:szCs w:val="26"/>
          <w:lang w:eastAsia="en-GB"/>
        </w:rPr>
        <w:t>〛</w:t>
      </w:r>
      <w:r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however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known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part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original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text.</w:t>
      </w:r>
    </w:p>
    <w:p w14:paraId="748AF12A" w14:textId="77777777" w:rsidR="00042173" w:rsidRPr="00D43730" w:rsidRDefault="00042173" w:rsidP="00042173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152C67B" w14:textId="766310B4" w:rsidR="009E6612" w:rsidRPr="00D43730" w:rsidRDefault="009E6612" w:rsidP="00BB3D75">
      <w:pPr>
        <w:jc w:val="left"/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</w:t>
      </w:r>
      <w:r w:rsidR="00DA7630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claims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omission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fact.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apparatus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shows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Vaticanus</w:t>
      </w:r>
      <w:proofErr w:type="spellEnd"/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omits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text,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Sinaiticus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(first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hand)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contains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symbol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="Cambria Math" w:eastAsia="Times New Roman" w:hAnsi="Cambria Math" w:cs="Cambria Math"/>
          <w:color w:val="000000"/>
          <w:sz w:val="26"/>
          <w:szCs w:val="26"/>
          <w:lang w:eastAsia="en-GB"/>
        </w:rPr>
        <w:t>𝔐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stands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for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M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ajority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ext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(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over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thousand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manuscripts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here),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and,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F71CE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</w:t>
      </w:r>
      <w:r w:rsidR="00F71CED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any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"constant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witnesses</w:t>
      </w:r>
      <w:r w:rsidR="00BB3D75" w:rsidRPr="00D43730">
        <w:rPr>
          <w:rStyle w:val="FootnoteReference"/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footnoteReference w:id="2"/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"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listed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opposing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readings.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FB543B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is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how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F71CE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</w:t>
      </w:r>
      <w:r w:rsidR="00F71CED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="00F71CE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obscures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evidence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042173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important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uncials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K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Q</w:t>
      </w:r>
      <w:r w:rsidR="00D43730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ΓΔ.</w:t>
      </w:r>
    </w:p>
    <w:p w14:paraId="2F9517A7" w14:textId="77777777" w:rsidR="000A6008" w:rsidRPr="00D43730" w:rsidRDefault="000A6008" w:rsidP="00042173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5B939A3" w14:textId="68AD8E46" w:rsidR="00BB3D75" w:rsidRDefault="00000000" w:rsidP="00166325">
      <w:pPr>
        <w:pageBreakBefore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lastRenderedPageBreak/>
        <w:pict w14:anchorId="40E225AD">
          <v:shape id="_x0000_s1042" type="#_x0000_t202" style="position:absolute;margin-left:1.55pt;margin-top:54.55pt;width:478.35pt;height:353.15pt;z-index:251665408">
            <v:textbox inset="1mm,,1mm">
              <w:txbxContent>
                <w:p w14:paraId="3A18C576" w14:textId="77777777" w:rsidR="0044514C" w:rsidRDefault="0044514C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908098E" wp14:editId="04634D41">
                        <wp:extent cx="5919968" cy="4349364"/>
                        <wp:effectExtent l="19050" t="0" r="4582" b="0"/>
                        <wp:docPr id="2" name="Picture 2" descr="C:\Graham1\1_Main\A12_GrahamBibleDocs\B20_TextCrit\Lk_22_43\ShorterQuotes\RS_Lk_22_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Graham1\1_Main\A12_GrahamBibleDocs\B20_TextCrit\Lk_22_43\ShorterQuotes\RS_Lk_22_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9968" cy="434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look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evidence,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from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Reuben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Swanson's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presentation.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Although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bulk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manuscripts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compressed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symbol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Cambria Math" w:eastAsia="Times New Roman" w:hAnsi="Cambria Math" w:cs="Cambria Math"/>
          <w:color w:val="000000"/>
          <w:sz w:val="26"/>
          <w:szCs w:val="26"/>
          <w:lang w:eastAsia="en-GB"/>
        </w:rPr>
        <w:t>𝔐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the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</w: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ajority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ext,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get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clearer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picture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B3D75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evidence.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43F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N.B.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Swanson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supporter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ajority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ext.</w:t>
      </w:r>
    </w:p>
    <w:p w14:paraId="2DE4DF22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050E8AE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AFB2011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F0A299C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3EAFBD9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8CC73D2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6841DC7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57710A4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3C64A02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911EDD2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FDD4285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64DA8C1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C4FD60B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DD34D58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E4B11A5" w14:textId="77777777" w:rsidR="00783025" w:rsidRDefault="00783025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0F0B758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DB65A9F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7BF73AE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6C5C608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C4B095B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5B2C9D6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6F61884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A1770E0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051EA96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1A15296" w14:textId="77777777" w:rsidR="0044514C" w:rsidRDefault="0044514C" w:rsidP="00443F8A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4EA1304" w14:textId="77777777" w:rsidR="0044514C" w:rsidRDefault="0044514C" w:rsidP="00783025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2E86814" w14:textId="77777777" w:rsidR="00783025" w:rsidRPr="00D43730" w:rsidRDefault="00783025" w:rsidP="00783025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We see that the </w:t>
      </w:r>
      <w:r w:rsidR="00F901B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physical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attack on the Lord has very good textual support, especially when we remember that the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symbol </w:t>
      </w:r>
      <w:r w:rsidRPr="00D43730">
        <w:rPr>
          <w:rFonts w:ascii="Cambria Math" w:eastAsia="Times New Roman" w:hAnsi="Cambria Math" w:cs="Cambria Math"/>
          <w:color w:val="000000"/>
          <w:sz w:val="26"/>
          <w:szCs w:val="26"/>
          <w:lang w:eastAsia="en-GB"/>
        </w:rPr>
        <w:t>𝔐</w:t>
      </w:r>
      <w:r w:rsidRPr="00D43730"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 xml:space="preserve"> stands for 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en-GB"/>
        </w:rPr>
        <w:t>over a thousand manuscripts.</w:t>
      </w:r>
    </w:p>
    <w:p w14:paraId="08EDA920" w14:textId="77777777" w:rsidR="00BB3D75" w:rsidRPr="00D43730" w:rsidRDefault="00BB3D75" w:rsidP="00042173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07DECA5" w14:textId="66D431A2" w:rsidR="00BB3D75" w:rsidRPr="00D43730" w:rsidRDefault="00490D5D" w:rsidP="00490D5D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assured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ajority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ext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text.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Leslie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McFall</w:t>
      </w:r>
      <w:r w:rsidR="007830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7830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on a smaller scale,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</w:t>
      </w:r>
      <w:r w:rsidR="0078302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have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shown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separate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studies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Sinaiticus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Vaticanus</w:t>
      </w:r>
      <w:proofErr w:type="spellEnd"/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differ,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readings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most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always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ajority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ext.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ajority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517822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ext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"God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manifest</w:t>
      </w:r>
      <w:r w:rsidR="00BA17F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flesh"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1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Tim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3:16,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Sinaiticus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being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rogue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BA17F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just 7 out of about 570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minuscules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support.</w:t>
      </w:r>
    </w:p>
    <w:p w14:paraId="19EC3C60" w14:textId="7DDF81D6" w:rsidR="000A6008" w:rsidRPr="00D43730" w:rsidRDefault="00BA17F6" w:rsidP="000A6008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16D4FED4" w14:textId="77777777" w:rsidR="0044514C" w:rsidRDefault="00000000" w:rsidP="001750DB">
      <w:pPr>
        <w:pageBreakBefore/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lastRenderedPageBreak/>
        <w:pict w14:anchorId="3ECC2D6C">
          <v:shape id="_x0000_s1044" type="#_x0000_t202" style="position:absolute;margin-left:2.85pt;margin-top:151.35pt;width:157.8pt;height:21.75pt;z-index:251667456;mso-wrap-style:none">
            <v:textbox style="mso-fit-shape-to-text:t">
              <w:txbxContent>
                <w:p w14:paraId="5BA710B7" w14:textId="77777777" w:rsidR="0044514C" w:rsidRDefault="0044514C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09760B8" wp14:editId="7A667631">
                        <wp:extent cx="1792224" cy="175565"/>
                        <wp:effectExtent l="19050" t="0" r="0" b="0"/>
                        <wp:docPr id="21" name="Picture 4" descr="C:\Graham1\1_Main\A12_GrahamBibleDocs\B20_TextCrit\Lk_22_43\ShorterQuotes\Heb_5_7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Graham1\1_Main\A12_GrahamBibleDocs\B20_TextCrit\Lk_22_43\ShorterQuotes\Heb_5_7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224" cy="1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pict w14:anchorId="39F75E54">
          <v:shape id="_x0000_s1043" type="#_x0000_t202" style="position:absolute;margin-left:2.2pt;margin-top:52.55pt;width:423.85pt;height:83.8pt;z-index:251666432">
            <v:textbox inset="1.5mm,,.5mm">
              <w:txbxContent>
                <w:p w14:paraId="30C3B1D5" w14:textId="77777777" w:rsidR="0044514C" w:rsidRDefault="0044514C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7D11FAD" wp14:editId="3CB8FCA6">
                        <wp:extent cx="5229913" cy="930303"/>
                        <wp:effectExtent l="19050" t="0" r="8837" b="0"/>
                        <wp:docPr id="22" name="Picture 5" descr="C:\Graham1\1_Main\A12_GrahamBibleDocs\B20_TextCrit\Lk_22_43\ShorterQuotes\Heb_5_7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Graham1\1_Main\A12_GrahamBibleDocs\B20_TextCrit\Lk_22_43\ShorterQuotes\Heb_5_7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6008" cy="93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only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account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93777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physical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Lord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itself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under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Luke's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gospel.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Hebrews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5:7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under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attack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textual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critics,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even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though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there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single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14234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manuscript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support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change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which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conjectured.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451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Below is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</w:t>
      </w:r>
      <w:r w:rsidR="00DA7630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on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490D5D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matter.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0440B73A" w14:textId="77777777" w:rsidR="001750DB" w:rsidRDefault="001750DB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1C1E5FD" w14:textId="77777777" w:rsidR="001750DB" w:rsidRDefault="001750DB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46A10469" w14:textId="77777777" w:rsidR="001750DB" w:rsidRDefault="001750DB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A330065" w14:textId="77777777" w:rsidR="001750DB" w:rsidRDefault="001750DB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1A2EAC7" w14:textId="77777777" w:rsidR="001750DB" w:rsidRDefault="001750DB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2157DBA" w14:textId="77777777" w:rsidR="0044514C" w:rsidRDefault="0044514C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D853391" w14:textId="77777777" w:rsidR="001750DB" w:rsidRPr="00D43730" w:rsidRDefault="001750DB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2A1835AB" w14:textId="0E7000C2" w:rsidR="0044514C" w:rsidRPr="00D43730" w:rsidRDefault="0044514C" w:rsidP="0044514C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We see that Adolf von Harnack, who was a</w:t>
      </w:r>
      <w:r w:rsidR="0025351D" w:rsidRPr="0025351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German </w:t>
      </w:r>
      <w:hyperlink r:id="rId15" w:tooltip="Lutheranism" w:history="1">
        <w:r w:rsidR="0025351D" w:rsidRPr="0025351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en-GB"/>
          </w:rPr>
          <w:t>Lutheran</w:t>
        </w:r>
      </w:hyperlink>
      <w:r w:rsidR="0025351D" w:rsidRPr="0025351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theologian and prominent church historian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 has made a conjectural change to the text, which obviously meets with credibility in the eyes of NA</w:t>
      </w:r>
      <w:r w:rsidR="00F71CED" w:rsidRPr="00F71CE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en-GB"/>
        </w:rPr>
        <w:t>26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(otherwise the entry would not be there): he conjectures that the text should add the word “not” and read:</w:t>
      </w:r>
    </w:p>
    <w:p w14:paraId="7DCF9B7D" w14:textId="77777777" w:rsidR="0044514C" w:rsidRPr="00D43730" w:rsidRDefault="0044514C" w:rsidP="0044514C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And in the days of his </w:t>
      </w:r>
      <w:proofErr w:type="gramStart"/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flesh</w:t>
      </w:r>
      <w:proofErr w:type="gramEnd"/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he made supplications and entreaties with loud cries and tears to him who was able to save him from death, </w:t>
      </w:r>
      <w:r w:rsidRPr="00D43730">
        <w:rPr>
          <w:rFonts w:ascii="Times New Roman" w:eastAsia="Times New Roman" w:hAnsi="Times New Roman" w:cs="Times New Roman"/>
          <w:color w:val="FF0000"/>
          <w:sz w:val="26"/>
          <w:szCs w:val="26"/>
          <w:lang w:eastAsia="en-GB"/>
        </w:rPr>
        <w:t xml:space="preserve">and he was </w:t>
      </w:r>
      <w:r w:rsidRPr="00D4373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>not</w:t>
      </w:r>
      <w:r w:rsidRPr="00D43730">
        <w:rPr>
          <w:rFonts w:ascii="Times New Roman" w:eastAsia="Times New Roman" w:hAnsi="Times New Roman" w:cs="Times New Roman"/>
          <w:color w:val="FF0000"/>
          <w:sz w:val="26"/>
          <w:szCs w:val="26"/>
          <w:lang w:eastAsia="en-GB"/>
        </w:rPr>
        <w:t xml:space="preserve"> heard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...</w:t>
      </w:r>
    </w:p>
    <w:p w14:paraId="208CF75C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AFA3C18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 other words, we are back to Jesus in contention with God, but this time not via interpretation, but via a textual argument (even without textual evidence!), so we are back to this scenario:</w:t>
      </w:r>
    </w:p>
    <w:p w14:paraId="4CE03CFC" w14:textId="77777777" w:rsidR="0044514C" w:rsidRPr="00D43730" w:rsidRDefault="0044514C" w:rsidP="0044514C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Jesus: Please God, let me avoid the crucifixion.</w:t>
      </w:r>
    </w:p>
    <w:p w14:paraId="51906856" w14:textId="77777777" w:rsidR="0044514C" w:rsidRPr="00D43730" w:rsidRDefault="0044514C" w:rsidP="0044514C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God: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ab/>
        <w:t xml:space="preserve">No, I will not hear you. You get on with your job. </w:t>
      </w:r>
    </w:p>
    <w:p w14:paraId="2BFF8E73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6089824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Harnack said [from Wikipedia]:</w:t>
      </w:r>
    </w:p>
    <w:p w14:paraId="12C13FB3" w14:textId="77777777" w:rsidR="0044514C" w:rsidRPr="00D43730" w:rsidRDefault="0044514C" w:rsidP="0044514C">
      <w:pPr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 the earth in its course stood still; that a she-ass spoke; that a storm was quieted by a word, we do not believe, and we shall never again believe; but that the lame walked, the blind saw, and the deaf heard will not be so summarily dismissed as an illusion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14:paraId="1AB5665C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C2490F8" w14:textId="77777777" w:rsidR="0044514C" w:rsidRPr="00D43730" w:rsidRDefault="0044514C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To Harnack, God who created the world is incapable of making the earth stand still, making an ass speak, or quieting a storm. Presumably he has no place for the resurrection.</w:t>
      </w:r>
    </w:p>
    <w:p w14:paraId="61DA40C0" w14:textId="77777777" w:rsidR="00490D5D" w:rsidRDefault="00490D5D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CF2EA9B" w14:textId="77777777" w:rsidR="00B9428A" w:rsidRPr="00D43730" w:rsidRDefault="00B9428A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E1F0284" w14:textId="77777777" w:rsidR="00220087" w:rsidRPr="00D43730" w:rsidRDefault="00220087" w:rsidP="0044514C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rejoice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our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Lord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had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very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different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gramStart"/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spirit,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and</w:t>
      </w:r>
      <w:proofErr w:type="gramEnd"/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remember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what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B2C3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did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for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us.</w:t>
      </w:r>
    </w:p>
    <w:p w14:paraId="66B0635C" w14:textId="77777777" w:rsidR="00220087" w:rsidRPr="00D43730" w:rsidRDefault="00220087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4821"/>
      </w:tblGrid>
      <w:tr w:rsidR="00220087" w:rsidRPr="00D43730" w14:paraId="6F92E4B2" w14:textId="77777777" w:rsidTr="000C570A">
        <w:trPr>
          <w:cantSplit/>
          <w:tblCellSpacing w:w="15" w:type="dxa"/>
        </w:trPr>
        <w:tc>
          <w:tcPr>
            <w:tcW w:w="10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7E09F5C" w14:textId="77777777" w:rsidR="00220087" w:rsidRPr="00D43730" w:rsidRDefault="00220087" w:rsidP="000C57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Lk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9:51</w:t>
            </w:r>
          </w:p>
        </w:tc>
        <w:tc>
          <w:tcPr>
            <w:tcW w:w="4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F4E4538" w14:textId="77777777" w:rsidR="00220087" w:rsidRPr="00D43730" w:rsidRDefault="00220087" w:rsidP="000C57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pass,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should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received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e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stedfastly</w:t>
            </w:r>
            <w:proofErr w:type="spellEnd"/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set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="00A247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is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face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Jerusalem,</w:t>
            </w:r>
          </w:p>
        </w:tc>
        <w:tc>
          <w:tcPr>
            <w:tcW w:w="47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8C2430C" w14:textId="77777777" w:rsidR="00220087" w:rsidRPr="00D43730" w:rsidRDefault="00220087" w:rsidP="000C57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came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pass,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towards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completion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days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taken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up,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resolutely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disposed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himself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go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Jerusalem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</w:p>
        </w:tc>
      </w:tr>
    </w:tbl>
    <w:p w14:paraId="715C697C" w14:textId="77777777" w:rsidR="001750DB" w:rsidRDefault="001750DB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147BEC0" w14:textId="77777777" w:rsidR="00B9428A" w:rsidRDefault="00B9428A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386D733D" w14:textId="77777777" w:rsidR="00B9428A" w:rsidRDefault="00B9428A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9EABA6F" w14:textId="77777777" w:rsidR="00B9428A" w:rsidRDefault="00B9428A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CFF2060" w14:textId="77777777" w:rsidR="00B9428A" w:rsidRDefault="00B9428A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289B382" w14:textId="77777777" w:rsidR="00B9428A" w:rsidRDefault="002C677C" w:rsidP="006A75CD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lastRenderedPageBreak/>
        <w:t>Christ accomplished H</w: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is mission, </w:t>
      </w:r>
      <w:r w:rsidR="006A75C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was crucified, </w:t>
      </w:r>
      <w:r w:rsidR="00B9428A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and </w:t>
      </w:r>
      <w:r w:rsidR="006A75C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was resurrected after three days and three nights, and became the assurance of resurrection for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all </w:t>
      </w:r>
      <w:r w:rsidR="006A75C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those who believe.</w:t>
      </w:r>
    </w:p>
    <w:p w14:paraId="77B83147" w14:textId="77777777" w:rsidR="00B9428A" w:rsidRPr="00D43730" w:rsidRDefault="00B9428A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tbl>
      <w:tblPr>
        <w:tblW w:w="0" w:type="auto"/>
        <w:tblCellSpacing w:w="15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4110"/>
        <w:gridCol w:w="4816"/>
      </w:tblGrid>
      <w:tr w:rsidR="00136B34" w:rsidRPr="00136B34" w14:paraId="2335CC30" w14:textId="77777777" w:rsidTr="00332C58">
        <w:trPr>
          <w:cantSplit/>
          <w:tblCellSpacing w:w="15" w:type="dxa"/>
        </w:trPr>
        <w:tc>
          <w:tcPr>
            <w:tcW w:w="1003" w:type="dxa"/>
            <w:tcBorders>
              <w:top w:val="outset" w:sz="4" w:space="0" w:color="808080"/>
              <w:left w:val="outset" w:sz="4" w:space="0" w:color="808080"/>
              <w:bottom w:val="outset" w:sz="4" w:space="0" w:color="808080"/>
              <w:right w:val="outset" w:sz="4" w:space="0" w:color="808080"/>
            </w:tcBorders>
            <w:hideMark/>
          </w:tcPr>
          <w:p w14:paraId="704773B1" w14:textId="77777777" w:rsidR="00136B34" w:rsidRPr="00136B34" w:rsidRDefault="00136B34" w:rsidP="00136B3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11:25</w:t>
            </w:r>
          </w:p>
        </w:tc>
        <w:tc>
          <w:tcPr>
            <w:tcW w:w="4080" w:type="dxa"/>
            <w:tcBorders>
              <w:top w:val="outset" w:sz="4" w:space="0" w:color="808080"/>
              <w:left w:val="outset" w:sz="4" w:space="0" w:color="808080"/>
              <w:bottom w:val="outset" w:sz="4" w:space="0" w:color="808080"/>
              <w:right w:val="outset" w:sz="4" w:space="0" w:color="808080"/>
            </w:tcBorders>
            <w:hideMark/>
          </w:tcPr>
          <w:p w14:paraId="002E4AA9" w14:textId="77777777" w:rsidR="00136B34" w:rsidRPr="00136B34" w:rsidRDefault="00136B34" w:rsidP="00136B3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her,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resurrection,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life: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believeth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though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dead,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yet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shall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live:</w:t>
            </w:r>
          </w:p>
        </w:tc>
        <w:tc>
          <w:tcPr>
            <w:tcW w:w="4771" w:type="dxa"/>
            <w:tcBorders>
              <w:top w:val="outset" w:sz="4" w:space="0" w:color="808080"/>
              <w:left w:val="outset" w:sz="4" w:space="0" w:color="808080"/>
              <w:bottom w:val="outset" w:sz="4" w:space="0" w:color="808080"/>
              <w:right w:val="outset" w:sz="4" w:space="0" w:color="808080"/>
            </w:tcBorders>
            <w:hideMark/>
          </w:tcPr>
          <w:p w14:paraId="0AF2E487" w14:textId="77777777" w:rsidR="00136B34" w:rsidRPr="00136B34" w:rsidRDefault="00136B34" w:rsidP="00136B3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her,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“I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resurrection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life.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who</w:t>
            </w:r>
            <w:r w:rsidR="00D43730" w:rsidRPr="00D43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believes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even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dies,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will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136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live.</w:t>
            </w:r>
          </w:p>
        </w:tc>
      </w:tr>
    </w:tbl>
    <w:p w14:paraId="61E717AE" w14:textId="77777777" w:rsidR="00220087" w:rsidRPr="00D43730" w:rsidRDefault="00220087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9845F63" w14:textId="77777777" w:rsidR="00220087" w:rsidRPr="00D43730" w:rsidRDefault="00220087" w:rsidP="0022008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664C5425" w14:textId="77777777" w:rsidR="00314F20" w:rsidRPr="00D43730" w:rsidRDefault="00314F20" w:rsidP="001750DB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Let's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conclude,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not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just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resurrection,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but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with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the</w:t>
      </w:r>
      <w:r w:rsidR="00D43730"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D4373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out-resurrection.</w:t>
      </w:r>
    </w:p>
    <w:p w14:paraId="194500F6" w14:textId="77777777" w:rsidR="00314F20" w:rsidRPr="00D43730" w:rsidRDefault="00314F20" w:rsidP="00A738D7">
      <w:pPr>
        <w:jc w:val="left"/>
        <w:rPr>
          <w:rFonts w:ascii="Times New Roman" w:eastAsia="Times New Roman" w:hAnsi="Times New Roman" w:cs="Times New Roman"/>
          <w:color w:val="FF0000"/>
          <w:sz w:val="26"/>
          <w:szCs w:val="26"/>
          <w:lang w:eastAsia="en-GB"/>
        </w:rPr>
      </w:pP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77"/>
        <w:gridCol w:w="4766"/>
      </w:tblGrid>
      <w:tr w:rsidR="00A738D7" w:rsidRPr="00D43730" w14:paraId="36FC9315" w14:textId="77777777" w:rsidTr="00A738D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74297F7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3:7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0CC93DB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things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were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gain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those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counted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3510A14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whatever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things</w:t>
            </w:r>
            <w:r w:rsidR="00D43730"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were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gains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those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consider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because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–</w:t>
            </w:r>
          </w:p>
        </w:tc>
      </w:tr>
      <w:tr w:rsidR="00A738D7" w:rsidRPr="00D43730" w14:paraId="5BE9E2D1" w14:textId="77777777" w:rsidTr="00A738D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2A36319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3:8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211D8116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Yea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doubtless,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things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33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excellency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knowledge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Lord: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suffered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all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things,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33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dung,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Christ,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3EDFC04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indeed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even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everything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reason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pre-eminence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knowledge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Jesus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Lord,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suffered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loss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everything,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count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dung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order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gain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Christ,</w:t>
            </w:r>
          </w:p>
        </w:tc>
      </w:tr>
      <w:tr w:rsidR="00A738D7" w:rsidRPr="00D43730" w14:paraId="103537B7" w14:textId="77777777" w:rsidTr="00A738D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6AF6310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3:9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1782F50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found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mine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own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righteousness,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law,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through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faith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righteousness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God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faith: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ABBC303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found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not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having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own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righteousness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law,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but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which</w:t>
            </w:r>
            <w:r w:rsidR="00D43730"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through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faith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Christ,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righteousness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from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God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6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based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faith,</w:t>
            </w:r>
          </w:p>
        </w:tc>
      </w:tr>
      <w:tr w:rsidR="00A738D7" w:rsidRPr="00D43730" w14:paraId="56FE0EEC" w14:textId="77777777" w:rsidTr="00A738D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4A71C9A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3:10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A0137D4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know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im,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the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power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of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is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resurrection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fellowship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sufferings,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made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conformable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905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death;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BC7B1D6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know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him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power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resurrection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fellowship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sufferings,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being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conformed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death,</w:t>
            </w:r>
          </w:p>
        </w:tc>
      </w:tr>
      <w:tr w:rsidR="00A738D7" w:rsidRPr="00D43730" w14:paraId="5E739220" w14:textId="77777777" w:rsidTr="00A738D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B8F45B4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Phil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3:11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271FFA7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any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means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might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attain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unto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the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resurrection</w:t>
            </w:r>
            <w:r w:rsidR="00D43730" w:rsidRPr="009A3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dead.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1A698DDA" w14:textId="77777777" w:rsidR="00A738D7" w:rsidRPr="00D43730" w:rsidRDefault="00A738D7" w:rsidP="00A738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somehow</w:t>
            </w:r>
            <w:proofErr w:type="gramEnd"/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I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attain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to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>out-resurrection</w:t>
            </w:r>
            <w:r w:rsidR="00D43730" w:rsidRPr="00D4373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of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</w:t>
            </w:r>
            <w:r w:rsidR="00D43730"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D43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dead.</w:t>
            </w:r>
          </w:p>
        </w:tc>
      </w:tr>
    </w:tbl>
    <w:p w14:paraId="12B9BCBB" w14:textId="77777777" w:rsidR="00A738D7" w:rsidRDefault="00A738D7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7A8A0302" w14:textId="77777777" w:rsidR="00CA59DB" w:rsidRPr="00D43730" w:rsidRDefault="00CA59DB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1BA262F5" w14:textId="77777777" w:rsidR="009B3F53" w:rsidRPr="00DA7630" w:rsidRDefault="00DA7630" w:rsidP="00A738D7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en-GB"/>
        </w:rPr>
      </w:pPr>
      <w:r w:rsidRPr="00DA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en-GB"/>
        </w:rPr>
        <w:t>References</w:t>
      </w:r>
    </w:p>
    <w:p w14:paraId="3FBB14F7" w14:textId="77777777" w:rsidR="00DA7630" w:rsidRDefault="00DA7630" w:rsidP="00A738D7">
      <w:pPr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72017E8" w14:textId="77777777" w:rsidR="00DA7630" w:rsidRDefault="00DA7630" w:rsidP="00DA7630">
      <w:pPr>
        <w:pStyle w:val="Ref"/>
        <w:keepNext/>
      </w:pPr>
      <w:r>
        <w:t>NA</w:t>
      </w:r>
      <w:r w:rsidRPr="00F71CED">
        <w:rPr>
          <w:vertAlign w:val="superscript"/>
        </w:rPr>
        <w:t>26</w:t>
      </w:r>
      <w:r>
        <w:tab/>
      </w:r>
      <w:r>
        <w:tab/>
        <w:t>(Nestle-Aland 26</w:t>
      </w:r>
      <w:r>
        <w:rPr>
          <w:vertAlign w:val="superscript"/>
        </w:rPr>
        <w:t>th</w:t>
      </w:r>
      <w:r>
        <w:t xml:space="preserve"> edition text)</w:t>
      </w:r>
    </w:p>
    <w:p w14:paraId="7541E064" w14:textId="77777777" w:rsidR="00DA7630" w:rsidRPr="00801548" w:rsidRDefault="00DA7630" w:rsidP="00DA7630">
      <w:pPr>
        <w:pStyle w:val="Ref"/>
        <w:keepNext/>
        <w:ind w:left="0" w:firstLine="0"/>
        <w:rPr>
          <w:lang w:val="de-DE"/>
        </w:rPr>
      </w:pPr>
      <w:r>
        <w:tab/>
      </w:r>
      <w:r>
        <w:tab/>
      </w:r>
      <w:r w:rsidRPr="00801548">
        <w:rPr>
          <w:lang w:val="de-DE"/>
        </w:rPr>
        <w:t xml:space="preserve">Nestle-Aland, </w:t>
      </w:r>
      <w:r w:rsidRPr="00801548">
        <w:rPr>
          <w:i/>
          <w:lang w:val="de-DE"/>
        </w:rPr>
        <w:t xml:space="preserve">Novum </w:t>
      </w:r>
      <w:proofErr w:type="spellStart"/>
      <w:r w:rsidRPr="00801548">
        <w:rPr>
          <w:i/>
          <w:lang w:val="de-DE"/>
        </w:rPr>
        <w:t>Testamentum</w:t>
      </w:r>
      <w:proofErr w:type="spellEnd"/>
      <w:r w:rsidRPr="00801548">
        <w:rPr>
          <w:i/>
          <w:lang w:val="de-DE"/>
        </w:rPr>
        <w:t xml:space="preserve"> </w:t>
      </w:r>
      <w:proofErr w:type="spellStart"/>
      <w:r w:rsidRPr="00801548">
        <w:rPr>
          <w:i/>
          <w:lang w:val="de-DE"/>
        </w:rPr>
        <w:t>Graece</w:t>
      </w:r>
      <w:proofErr w:type="spellEnd"/>
      <w:r>
        <w:rPr>
          <w:lang w:val="de-DE"/>
        </w:rPr>
        <w:t>, 26</w:t>
      </w:r>
      <w:r w:rsidRPr="00801548">
        <w:rPr>
          <w:lang w:val="de-DE"/>
        </w:rPr>
        <w:t xml:space="preserve"> Auflage,</w:t>
      </w:r>
    </w:p>
    <w:p w14:paraId="7B4A569C" w14:textId="77777777" w:rsidR="00DA7630" w:rsidRPr="00801548" w:rsidRDefault="00DA7630" w:rsidP="00DA7630">
      <w:pPr>
        <w:pStyle w:val="Ref"/>
        <w:keepNext/>
        <w:rPr>
          <w:lang w:val="de-DE"/>
        </w:rPr>
      </w:pPr>
      <w:r w:rsidRPr="00801548">
        <w:rPr>
          <w:lang w:val="de-DE"/>
        </w:rPr>
        <w:tab/>
      </w:r>
      <w:r w:rsidRPr="00801548">
        <w:rPr>
          <w:lang w:val="de-DE"/>
        </w:rPr>
        <w:tab/>
        <w:t xml:space="preserve">Deutsche </w:t>
      </w:r>
      <w:proofErr w:type="gramStart"/>
      <w:r w:rsidRPr="00801548">
        <w:rPr>
          <w:lang w:val="de-DE"/>
        </w:rPr>
        <w:t>Bibelgesellschaft ,</w:t>
      </w:r>
      <w:proofErr w:type="gramEnd"/>
      <w:r w:rsidRPr="00801548">
        <w:rPr>
          <w:lang w:val="de-DE"/>
        </w:rPr>
        <w:t xml:space="preserve"> </w:t>
      </w:r>
      <w:proofErr w:type="spellStart"/>
      <w:r w:rsidRPr="00801548">
        <w:rPr>
          <w:lang w:val="de-DE"/>
        </w:rPr>
        <w:t>P.O.Box</w:t>
      </w:r>
      <w:proofErr w:type="spellEnd"/>
      <w:r w:rsidRPr="00801548">
        <w:rPr>
          <w:lang w:val="de-DE"/>
        </w:rPr>
        <w:t xml:space="preserve"> 810340, 7000 Stuttgart 80, Germany</w:t>
      </w:r>
      <w:r>
        <w:rPr>
          <w:lang w:val="de-DE"/>
        </w:rPr>
        <w:t>.</w:t>
      </w:r>
    </w:p>
    <w:p w14:paraId="6DE9894B" w14:textId="77777777" w:rsidR="00DA7630" w:rsidRPr="0006785F" w:rsidRDefault="00DA7630" w:rsidP="00DA7630">
      <w:pPr>
        <w:pStyle w:val="Ref"/>
        <w:keepNext/>
        <w:rPr>
          <w:lang w:val="de-DE"/>
        </w:rPr>
      </w:pPr>
    </w:p>
    <w:p w14:paraId="3344EE5E" w14:textId="77777777" w:rsidR="00DA7630" w:rsidRPr="00DA7630" w:rsidRDefault="00DA7630" w:rsidP="00DA7630">
      <w:pPr>
        <w:pStyle w:val="Ref"/>
        <w:keepNext/>
      </w:pPr>
      <w:r w:rsidRPr="00DA7630">
        <w:t>RSV</w:t>
      </w:r>
      <w:r w:rsidRPr="00DA7630">
        <w:tab/>
      </w:r>
      <w:r>
        <w:tab/>
        <w:t>The Revised Standard Version, Second Edition, 1971. Published by Collins.</w:t>
      </w:r>
    </w:p>
    <w:p w14:paraId="76796A2E" w14:textId="77777777" w:rsidR="00DA7630" w:rsidRPr="00DA7630" w:rsidRDefault="00DA7630" w:rsidP="00DA7630">
      <w:pPr>
        <w:pStyle w:val="Ref"/>
        <w:keepNext/>
      </w:pPr>
    </w:p>
    <w:p w14:paraId="2AEB6557" w14:textId="77777777" w:rsidR="00DA7630" w:rsidRDefault="00DA7630" w:rsidP="00DA7630">
      <w:pPr>
        <w:pStyle w:val="Ref"/>
        <w:keepNext/>
      </w:pPr>
      <w:r w:rsidRPr="00DA7630">
        <w:t>Swanson</w:t>
      </w:r>
      <w:r>
        <w:tab/>
        <w:t>Reuben Swanson</w:t>
      </w:r>
      <w:r w:rsidR="00FC3EAB">
        <w:t xml:space="preserve"> (Editor)</w:t>
      </w:r>
      <w:r>
        <w:t>, New Tes</w:t>
      </w:r>
      <w:r w:rsidR="00FC3EAB">
        <w:t>tament Greek Manuscripts, Luke. Sheffield Academic Press / William Carey International University Press. ISBN 1-85075-774-7.</w:t>
      </w:r>
    </w:p>
    <w:p w14:paraId="239B938C" w14:textId="77777777" w:rsidR="00403DA5" w:rsidRDefault="00403DA5" w:rsidP="00DA7630">
      <w:pPr>
        <w:pStyle w:val="Ref"/>
        <w:keepNext/>
      </w:pPr>
    </w:p>
    <w:p w14:paraId="22782CA4" w14:textId="77777777" w:rsidR="00403DA5" w:rsidRPr="00DA7630" w:rsidRDefault="00403DA5" w:rsidP="00DA7630">
      <w:pPr>
        <w:pStyle w:val="Ref"/>
        <w:keepNext/>
      </w:pPr>
      <w:r>
        <w:t xml:space="preserve">Brief quotations </w:t>
      </w:r>
      <w:r w:rsidR="00CF1E56">
        <w:t xml:space="preserve">from these references </w:t>
      </w:r>
      <w:r>
        <w:t>have been embodied in this critical article.</w:t>
      </w:r>
    </w:p>
    <w:sectPr w:rsidR="00403DA5" w:rsidRPr="00DA7630" w:rsidSect="00166325">
      <w:footerReference w:type="default" r:id="rId16"/>
      <w:pgSz w:w="11906" w:h="16838"/>
      <w:pgMar w:top="119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ED63" w14:textId="77777777" w:rsidR="00284EC5" w:rsidRDefault="00284EC5" w:rsidP="00A06A87">
      <w:r>
        <w:separator/>
      </w:r>
    </w:p>
  </w:endnote>
  <w:endnote w:type="continuationSeparator" w:id="0">
    <w:p w14:paraId="2C309CE8" w14:textId="77777777" w:rsidR="00284EC5" w:rsidRDefault="00284EC5" w:rsidP="00A0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9675"/>
      <w:docPartObj>
        <w:docPartGallery w:val="Page Numbers (Bottom of Page)"/>
        <w:docPartUnique/>
      </w:docPartObj>
    </w:sdtPr>
    <w:sdtContent>
      <w:p w14:paraId="6E1415FE" w14:textId="77777777" w:rsidR="007E0FCE" w:rsidRDefault="00032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7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9CABA2" w14:textId="77777777" w:rsidR="007E0FCE" w:rsidRDefault="007E0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8A22" w14:textId="77777777" w:rsidR="00284EC5" w:rsidRDefault="00284EC5" w:rsidP="00A06A87">
      <w:r>
        <w:separator/>
      </w:r>
    </w:p>
  </w:footnote>
  <w:footnote w:type="continuationSeparator" w:id="0">
    <w:p w14:paraId="06093ECE" w14:textId="77777777" w:rsidR="00284EC5" w:rsidRDefault="00284EC5" w:rsidP="00A06A87">
      <w:r>
        <w:continuationSeparator/>
      </w:r>
    </w:p>
  </w:footnote>
  <w:footnote w:id="1">
    <w:p w14:paraId="0F77FD10" w14:textId="77777777" w:rsidR="00DD381A" w:rsidRDefault="00DD381A">
      <w:pPr>
        <w:pStyle w:val="FootnoteText"/>
      </w:pPr>
      <w:r>
        <w:rPr>
          <w:rStyle w:val="FootnoteReference"/>
        </w:rPr>
        <w:footnoteRef/>
      </w:r>
      <w:r>
        <w:t xml:space="preserve"> With capitalized divine pronouns.</w:t>
      </w:r>
    </w:p>
  </w:footnote>
  <w:footnote w:id="2">
    <w:p w14:paraId="0933FAB9" w14:textId="38C3B793" w:rsidR="007E0FCE" w:rsidRDefault="007E0FCE" w:rsidP="00BB3D75">
      <w:pPr>
        <w:pStyle w:val="FootnoteText"/>
      </w:pPr>
      <w:r>
        <w:rPr>
          <w:rStyle w:val="FootnoteReference"/>
        </w:rPr>
        <w:footnoteRef/>
      </w:r>
      <w:r w:rsidR="00D43730">
        <w:t xml:space="preserve"> </w:t>
      </w:r>
      <w:r>
        <w:t>See</w:t>
      </w:r>
      <w:r w:rsidR="00D43730">
        <w:t xml:space="preserve"> </w:t>
      </w:r>
      <w:r>
        <w:t>p.50</w:t>
      </w:r>
      <w:r w:rsidR="00D43730">
        <w:t xml:space="preserve"> </w:t>
      </w:r>
      <w:r>
        <w:t>of</w:t>
      </w:r>
      <w:r w:rsidR="00D43730">
        <w:t xml:space="preserve"> </w:t>
      </w:r>
      <w:r>
        <w:t>the</w:t>
      </w:r>
      <w:r w:rsidR="00D43730">
        <w:t xml:space="preserve"> </w:t>
      </w:r>
      <w:r w:rsidR="006A31A1">
        <w:t>I</w:t>
      </w:r>
      <w:r>
        <w:t>ntroduction.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F53"/>
    <w:rsid w:val="0003257E"/>
    <w:rsid w:val="00042173"/>
    <w:rsid w:val="00057DCB"/>
    <w:rsid w:val="00063A04"/>
    <w:rsid w:val="0006785F"/>
    <w:rsid w:val="00077C8E"/>
    <w:rsid w:val="000A6008"/>
    <w:rsid w:val="000B2C3C"/>
    <w:rsid w:val="00136B34"/>
    <w:rsid w:val="00166325"/>
    <w:rsid w:val="001750DB"/>
    <w:rsid w:val="00195641"/>
    <w:rsid w:val="001E74FC"/>
    <w:rsid w:val="001F50F0"/>
    <w:rsid w:val="00220087"/>
    <w:rsid w:val="00226314"/>
    <w:rsid w:val="0025351D"/>
    <w:rsid w:val="00272589"/>
    <w:rsid w:val="00284EC5"/>
    <w:rsid w:val="002948CF"/>
    <w:rsid w:val="00297586"/>
    <w:rsid w:val="002B10BD"/>
    <w:rsid w:val="002B2E15"/>
    <w:rsid w:val="002C677C"/>
    <w:rsid w:val="00314F20"/>
    <w:rsid w:val="00332C58"/>
    <w:rsid w:val="003A12EE"/>
    <w:rsid w:val="003B653D"/>
    <w:rsid w:val="003E06A4"/>
    <w:rsid w:val="00403DA5"/>
    <w:rsid w:val="004100E4"/>
    <w:rsid w:val="00443F8A"/>
    <w:rsid w:val="0044514C"/>
    <w:rsid w:val="00470227"/>
    <w:rsid w:val="00490D5D"/>
    <w:rsid w:val="004A4844"/>
    <w:rsid w:val="004E40B4"/>
    <w:rsid w:val="004F4328"/>
    <w:rsid w:val="00517822"/>
    <w:rsid w:val="005800CF"/>
    <w:rsid w:val="00606A83"/>
    <w:rsid w:val="0062679A"/>
    <w:rsid w:val="00632E34"/>
    <w:rsid w:val="00653B45"/>
    <w:rsid w:val="006560D0"/>
    <w:rsid w:val="006A31A1"/>
    <w:rsid w:val="006A75CD"/>
    <w:rsid w:val="00744317"/>
    <w:rsid w:val="00780509"/>
    <w:rsid w:val="00783025"/>
    <w:rsid w:val="007E0FCE"/>
    <w:rsid w:val="007F08B6"/>
    <w:rsid w:val="00806407"/>
    <w:rsid w:val="00810C71"/>
    <w:rsid w:val="00816F54"/>
    <w:rsid w:val="00875561"/>
    <w:rsid w:val="008B35F0"/>
    <w:rsid w:val="008B7EEA"/>
    <w:rsid w:val="0093777C"/>
    <w:rsid w:val="009639B0"/>
    <w:rsid w:val="00975CAA"/>
    <w:rsid w:val="009A39AB"/>
    <w:rsid w:val="009B3F53"/>
    <w:rsid w:val="009E6612"/>
    <w:rsid w:val="009F50EC"/>
    <w:rsid w:val="00A06A87"/>
    <w:rsid w:val="00A14084"/>
    <w:rsid w:val="00A21C20"/>
    <w:rsid w:val="00A247E0"/>
    <w:rsid w:val="00A30E5C"/>
    <w:rsid w:val="00A72572"/>
    <w:rsid w:val="00A738D7"/>
    <w:rsid w:val="00A90248"/>
    <w:rsid w:val="00AC10B0"/>
    <w:rsid w:val="00AC15EE"/>
    <w:rsid w:val="00AC496C"/>
    <w:rsid w:val="00B275D6"/>
    <w:rsid w:val="00B748E6"/>
    <w:rsid w:val="00B74B83"/>
    <w:rsid w:val="00B941DB"/>
    <w:rsid w:val="00B9428A"/>
    <w:rsid w:val="00BA17F6"/>
    <w:rsid w:val="00BA584B"/>
    <w:rsid w:val="00BB01AE"/>
    <w:rsid w:val="00BB3D75"/>
    <w:rsid w:val="00BF3C6F"/>
    <w:rsid w:val="00C3552E"/>
    <w:rsid w:val="00C54DC9"/>
    <w:rsid w:val="00C6417A"/>
    <w:rsid w:val="00C8377C"/>
    <w:rsid w:val="00C90584"/>
    <w:rsid w:val="00CA59DB"/>
    <w:rsid w:val="00CC4CDA"/>
    <w:rsid w:val="00CF1E56"/>
    <w:rsid w:val="00D339C3"/>
    <w:rsid w:val="00D43730"/>
    <w:rsid w:val="00D6462C"/>
    <w:rsid w:val="00D75832"/>
    <w:rsid w:val="00DA7630"/>
    <w:rsid w:val="00DD381A"/>
    <w:rsid w:val="00E21700"/>
    <w:rsid w:val="00E36C27"/>
    <w:rsid w:val="00E558E6"/>
    <w:rsid w:val="00ED4FA1"/>
    <w:rsid w:val="00F00243"/>
    <w:rsid w:val="00F10401"/>
    <w:rsid w:val="00F14234"/>
    <w:rsid w:val="00F23811"/>
    <w:rsid w:val="00F247E4"/>
    <w:rsid w:val="00F36DEB"/>
    <w:rsid w:val="00F71CED"/>
    <w:rsid w:val="00F901B9"/>
    <w:rsid w:val="00FB543B"/>
    <w:rsid w:val="00FC3EAB"/>
    <w:rsid w:val="00FD5D1B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5B81F16"/>
  <w15:docId w15:val="{1558DC3D-79A1-4B37-9D8D-E46FDAA9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paragraph" w:styleId="Heading1">
    <w:name w:val="heading 1"/>
    <w:basedOn w:val="Normal"/>
    <w:link w:val="Heading1Char"/>
    <w:uiPriority w:val="9"/>
    <w:qFormat/>
    <w:rsid w:val="009E661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3F53"/>
  </w:style>
  <w:style w:type="character" w:customStyle="1" w:styleId="quoten">
    <w:name w:val="quoten"/>
    <w:basedOn w:val="DefaultParagraphFont"/>
    <w:rsid w:val="009B3F53"/>
  </w:style>
  <w:style w:type="paragraph" w:styleId="Header">
    <w:name w:val="header"/>
    <w:basedOn w:val="Normal"/>
    <w:link w:val="HeaderChar"/>
    <w:uiPriority w:val="99"/>
    <w:semiHidden/>
    <w:unhideWhenUsed/>
    <w:rsid w:val="00A06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A87"/>
  </w:style>
  <w:style w:type="paragraph" w:styleId="Footer">
    <w:name w:val="footer"/>
    <w:basedOn w:val="Normal"/>
    <w:link w:val="FooterChar"/>
    <w:uiPriority w:val="99"/>
    <w:unhideWhenUsed/>
    <w:rsid w:val="00A06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A87"/>
  </w:style>
  <w:style w:type="paragraph" w:styleId="BalloonText">
    <w:name w:val="Balloon Text"/>
    <w:basedOn w:val="Normal"/>
    <w:link w:val="BalloonTextChar"/>
    <w:uiPriority w:val="99"/>
    <w:semiHidden/>
    <w:unhideWhenUsed/>
    <w:rsid w:val="00975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66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D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D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D75"/>
    <w:rPr>
      <w:vertAlign w:val="superscript"/>
    </w:rPr>
  </w:style>
  <w:style w:type="paragraph" w:customStyle="1" w:styleId="Ref">
    <w:name w:val="Ref"/>
    <w:basedOn w:val="Normal"/>
    <w:rsid w:val="00DA76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  <w:outlineLvl w:val="0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67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/020_Expository/01_Expository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Lutheranis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CB00-2296-4829-A4AC-B5A62B1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 in Gethsemane</vt:lpstr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 in Gethsemane</dc:title>
  <dc:creator>Thomason</dc:creator>
  <cp:lastModifiedBy>graham thomason</cp:lastModifiedBy>
  <cp:revision>70</cp:revision>
  <cp:lastPrinted>2023-01-18T12:34:00Z</cp:lastPrinted>
  <dcterms:created xsi:type="dcterms:W3CDTF">2015-04-04T15:47:00Z</dcterms:created>
  <dcterms:modified xsi:type="dcterms:W3CDTF">2023-04-12T20:07:00Z</dcterms:modified>
</cp:coreProperties>
</file>